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2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B2A" w:val="clear"/>
            <w:tcMar>
              <w:top w:type="dxa" w:w="400"/>
              <w:left w:type="dxa" w:w="360"/>
              <w:bottom w:type="dxa" w:w="400"/>
              <w:right w:type="dxa" w:w="360"/>
            </w:tcMar>
          </w:tcPr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0B14F"/>
                <w:sz w:val="44"/>
                <w:szCs w:val="44"/>
              </w:rPr>
              <w:t xml:space="preserve">TANCA HRM</w:t>
            </w:r>
          </w:p>
          <w:p>
            <w:pPr>
              <w:spacing w:after="8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CHÍNH SÁCH NGHỈ PHÉP NĂM</w:t>
            </w:r>
          </w:p>
          <w:p>
            <w:pPr>
              <w:spacing w:after="120" w:before="0"/>
              <w:jc w:val="center"/>
            </w:pPr>
            <w:r>
              <w:rPr>
                <w:rFonts w:ascii="Arial" w:cs="Arial" w:eastAsia="Arial" w:hAnsi="Arial"/>
                <w:color w:val="E8F5EE"/>
                <w:sz w:val="26"/>
                <w:szCs w:val="26"/>
              </w:rPr>
              <w:t xml:space="preserve">Annual Leave Policy Template</w:t>
            </w:r>
          </w:p>
          <w:p>
            <w:pPr>
              <w:pBdr>
                <w:bottom w:val="single" w:color="00B14F" w:sz="6" w:space="1"/>
              </w:pBdr>
              <w:spacing w:after="80" w:before="80"/>
            </w:pPr>
          </w:p>
          <w:p>
            <w:pPr>
              <w:spacing w:after="40" w:before="80"/>
              <w:jc w:val="center"/>
            </w:pPr>
            <w:r>
              <w:rPr>
                <w:rFonts w:ascii="Arial" w:cs="Arial" w:eastAsia="Arial" w:hAnsi="Arial"/>
                <w:color w:val="8892A0"/>
                <w:sz w:val="20"/>
                <w:szCs w:val="20"/>
              </w:rPr>
              <w:t xml:space="preserve">Mã tài liệu: </w:t>
            </w:r>
            <w:r>
              <w:rPr>
                <w:rFonts w:ascii="Arial" w:cs="Arial" w:eastAsia="Arial" w:hAnsi="Arial"/>
                <w:b/>
                <w:bCs/>
                <w:color w:val="FFB020"/>
                <w:sz w:val="20"/>
                <w:szCs w:val="20"/>
              </w:rPr>
              <w:t xml:space="preserve">HR-POL-001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</w:rPr>
              <w:t xml:space="preserve">   |   Phiên bản: </w:t>
            </w:r>
            <w:r>
              <w:rPr>
                <w:rFonts w:ascii="Arial" w:cs="Arial" w:eastAsia="Arial" w:hAnsi="Arial"/>
                <w:b/>
                <w:bCs/>
                <w:color w:val="FFB020"/>
                <w:sz w:val="20"/>
                <w:szCs w:val="20"/>
              </w:rPr>
              <w:t xml:space="preserve">2026.1</w:t>
            </w:r>
            <w:r>
              <w:rPr>
                <w:rFonts w:ascii="Arial" w:cs="Arial" w:eastAsia="Arial" w:hAnsi="Arial"/>
                <w:color w:val="8892A0"/>
                <w:sz w:val="20"/>
                <w:szCs w:val="20"/>
              </w:rPr>
              <w:t xml:space="preserve">   |   Hiệu lực từ: </w:t>
            </w:r>
            <w:r>
              <w:rPr>
                <w:rFonts w:ascii="Arial" w:cs="Arial" w:eastAsia="Arial" w:hAnsi="Arial"/>
                <w:b/>
                <w:bCs/>
                <w:color w:val="FFB020"/>
                <w:sz w:val="20"/>
                <w:szCs w:val="20"/>
              </w:rPr>
              <w:t xml:space="preserve">01/01/2026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8892A0"/>
                <w:sz w:val="20"/>
                <w:szCs w:val="20"/>
              </w:rPr>
              <w:t xml:space="preserve">Áp dụng cho: </w:t>
            </w:r>
            <w:r>
              <w:rPr>
                <w:rFonts w:ascii="Arial" w:cs="Arial" w:eastAsia="Arial" w:hAnsi="Arial"/>
                <w:color w:val="FFFFFF"/>
                <w:sz w:val="20"/>
                <w:szCs w:val="20"/>
              </w:rPr>
              <w:t xml:space="preserve">Toàn bộ nhân viên chính thức và thử việc</w:t>
            </w:r>
          </w:p>
        </w:tc>
      </w:tr>
    </w:tbl>
    <w:p>
      <w:pPr>
        <w:spacing w:after="0" w:before="28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260"/>
      </w:tblGrid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D1B2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Thông Tin Tài Liệu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1B283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Chi Tiết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Tên chính sách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Chính Sách Nghỉ Phép Năm — Annual Leave Policy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Mã tài liệu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HR-POL-001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Phòng ban chủ quản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Phòng Nhân Sự (Human Resources)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Người soạn thảo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HR Director / Legal Counsel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 hiệu lực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01/01/2026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 xem xét lại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01/01/2027 (hoặc khi luật thay đổi)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Phạm vi áp dụng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Tất cả nhân viên chính thức, thử việc tại Việt Nam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Căn cứ pháp lý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Bộ Luật Lao Động 2019 (Luật số 45/2019/QH14)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Phiên bản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2026.1 — Cập nhật theo NĐ 145/2020/NĐ-CP</w:t>
            </w:r>
          </w:p>
        </w:tc>
      </w:tr>
    </w:tbl>
    <w:p>
      <w:pPr>
        <w:spacing w:after="0" w:before="3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B2A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📌  ĐIỀU 1 — MỤC ĐÍCH VÀ PHẠM VI ÁP DỤNG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1.1  Mục đích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Chính sách này được ban hành nhằm: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Đảm bảo quyền lợi nghỉ phép của người lao động theo đúng quy định của Bộ Luật Lao Động Việt Nam 2019.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Tạo khung quản lý thống nhất, minh bạch và công bằng cho toàn bộ nhân viên công ty.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Hỗ trợ nhân viên lên kế hoạch nghỉ phép hợp lý, đảm bảo cân bằng giữa công việc và cuộc sống.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Giúp bộ phận HR và quản lý theo dõi, quản lý phép năm hiệu quả qua hệ thống Tanca HRM.</w:t>
      </w:r>
    </w:p>
    <w:p>
      <w:pPr>
        <w:spacing w:after="0" w:before="8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1.2  Phạm vi áp dụng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Chính sách áp dụng cho: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Tất cả nhân viên có hợp đồng lao động chính thức (không xác định thời hạn và xác định thời hạn).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Nhân viên đang trong thời gian thử việc (hưởng 70% quyền lợi — xem Điều 3).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Nhân viên làm việc bán thời gian từ 20 giờ/tuần trở lên (tính theo tỷ lệ).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Không áp dụng cho: cộng tác viên (freelancer), nhân viên thời vụ, lao động khoán việc.</w:t>
      </w:r>
    </w:p>
    <w:p>
      <w:pPr>
        <w:spacing w:after="0" w:before="3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838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📖  ĐIỀU 2 — ĐỊNH NGHĨA &amp; THUẬT NGỮ</w:t>
            </w:r>
          </w:p>
        </w:tc>
      </w:tr>
    </w:tbl>
    <w:p>
      <w:pPr>
        <w:spacing w:after="0" w:before="1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260"/>
      </w:tblGrid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0D1B2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Thuật ngữ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1B283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Định nghĩa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 phép năm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 làm việc (không tính thứ 7, chủ nhật, ngày lễ) được nghỉ hưởng lương đầy đủ.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Năm làm việc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12 tháng liên tiếp tính từ ngày ký hợp đồng lao động chính thức.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Phép lũy kế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Số ngày phép chưa sử dụng được phép chuyển sang năm tiếp theo (tối đa theo quy định).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Phép tính theo tỷ lệ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Số ngày phép tính theo số tháng làm việc thực tế trong năm (pro-rated).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Carry-forward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 phép lũy kế tối đa 5 ngày chuyển sang Q1 năm sau, hết hạn 31/03.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Phép không lương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Nghỉ phép vượt quá số ngày phép được hưởng, không được trả lương.</w:t>
            </w:r>
          </w:p>
        </w:tc>
      </w:tr>
      <w:tr>
        <w:tc>
          <w:tcPr>
            <w:tcW w:type="dxa" w:w="30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Emergency Leave</w:t>
            </w:r>
          </w:p>
        </w:tc>
        <w:tc>
          <w:tcPr>
            <w:tcW w:type="dxa" w:w="62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Nghỉ đột xuất do sự cố khẩn cấp — phải thông báo trong vòng 2 giờ.</w:t>
            </w:r>
          </w:p>
        </w:tc>
      </w:tr>
    </w:tbl>
    <w:p>
      <w:pPr>
        <w:spacing w:after="0" w:before="3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B2A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📅  ĐIỀU 3 — SỐ NGÀY PHÉP NĂM THEO LOẠI HỢP ĐỒNG &amp; THÂM NIÊN</w:t>
            </w:r>
          </w:p>
        </w:tc>
      </w:tr>
    </w:tbl>
    <w:p>
      <w:pPr>
        <w:spacing w:after="0" w:before="1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single" w:color="008C3E" w:sz="8"/>
              <w:left w:val="single" w:color="008C3E" w:sz="16"/>
              <w:bottom w:val="single" w:color="008C3E" w:sz="8"/>
              <w:right w:val="single" w:color="008C3E" w:sz="4"/>
            </w:tcBorders>
            <w:shd w:fill="E8F5EE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color w:val="008C3E"/>
                <w:sz w:val="21"/>
                <w:szCs w:val="21"/>
              </w:rPr>
              <w:t xml:space="preserve">⚖️ Căn cứ pháp lý:  </w:t>
            </w: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113 Bộ Luật Lao Động 2019: Người lao động làm việc đủ 12 tháng được hưởng tối thiểu 12 ngày phép/năm. Cứ mỗi 5 năm làm việc, số ngày phép tăng thêm 1 ngày.</w:t>
            </w:r>
          </w:p>
        </w:tc>
      </w:tr>
    </w:tbl>
    <w:p>
      <w:pPr>
        <w:spacing w:after="0" w:before="12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800"/>
        <w:gridCol w:w="2200"/>
        <w:gridCol w:w="2660"/>
      </w:tblGrid>
      <w:tr>
        <w:tc>
          <w:tcPr>
            <w:tcW w:type="dxa" w:w="26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Loại Nhân Viên / Thâm Niên</w:t>
            </w:r>
          </w:p>
        </w:tc>
        <w:tc>
          <w:tcPr>
            <w:tcW w:type="dxa" w:w="18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Ngày Phép/Năm</w:t>
            </w:r>
          </w:p>
        </w:tc>
        <w:tc>
          <w:tcPr>
            <w:tcW w:type="dxa" w:w="22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Ghi Chú</w:t>
            </w:r>
          </w:p>
        </w:tc>
        <w:tc>
          <w:tcPr>
            <w:tcW w:type="dxa" w:w="266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Quy Định Tham Chiếu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Thử việc (&lt; 2 tháng)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Không có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Hưởng 70% lương, không tính phép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24 BLLĐ 2019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Nhân viên chính thức: 0–4 năm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12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Tối thiểu theo luật Việt Nam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113 BLLĐ 2019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Nhân viên chính thức: 5–9 năm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13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+1 ngày sau mỗi 5 năm thâm niên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113 BLLĐ 2019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Nhân viên chính thức: 10–14 năm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14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113 BLLĐ 2019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Nhân viên chính thức: 15+ năm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15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Tối đa theo quy định luật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113 BLLĐ 2019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Công việc nặng nhọc / độc hại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14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Danh mục theo TT 11/2020/TT-BLĐTBXH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113 BLLĐ 2019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Nhân viên khuyết tật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14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Theo quy định đặc thù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113 BLLĐ 2019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Nhân viên bán thời gian (≥20h/tuần)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Tính theo tỷ lệ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Pro-rated theo % giờ làm việc/tuần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113 BLLĐ 2019</w:t>
            </w:r>
          </w:p>
        </w:tc>
      </w:tr>
    </w:tbl>
    <w:p>
      <w:pPr>
        <w:spacing w:after="0" w:before="12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3.1  Chính sách Carry-Forward (Lũy kế phép năm)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Tối đa 5 ngày phép chưa sử dụng được chuyển sang năm tiếp theo.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Ngày phép lũy kế phải sử dụng trước ngày 31/03 của năm sau, sau đó tự động hủy.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Công ty không có nghĩa vụ thanh toán bằng tiền cho phép lũy kế chưa sử dụng (trừ khi nghỉ việc).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Nhân viên sẽ nhận thông báo nhắc nhở qua Tanca HRM trước 31/01 và 28/02 mỗi năm.</w:t>
      </w:r>
    </w:p>
    <w:p>
      <w:pPr>
        <w:spacing w:after="0" w:before="12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3.2  Thanh toán phép chưa sử dụng khi nghỉ việc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Khi nhân viên chấm dứt hợp đồng, toàn bộ số ngày phép năm còn lại chưa sử dụng sẽ được thanh toán bằng tiền.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Công thức: Số ngày phép còn lại × (Lương tháng ÷ 26 ngày làm việc).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Việc thanh toán được thực hiện cùng với bảng lương tháng cuối.</w:t>
      </w:r>
    </w:p>
    <w:p>
      <w:pPr>
        <w:spacing w:after="0" w:before="300"/>
      </w:pPr>
    </w:p>
    <w:p>
      <w:r>
        <w:br w:type="page"/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B2A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📋  ĐIỀU 4 — QUY TRÌNH ĐĂNG KÝ &amp; PHÊ DUYỆT NGHỈ PHÉP</w:t>
            </w:r>
          </w:p>
        </w:tc>
      </w:tr>
    </w:tbl>
    <w:p>
      <w:pPr>
        <w:spacing w:after="0" w:before="1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single" w:color="FFB020" w:sz="8"/>
              <w:left w:val="single" w:color="FFB020" w:sz="16"/>
              <w:bottom w:val="single" w:color="FFB020" w:sz="8"/>
              <w:right w:val="single" w:color="FFB020" w:sz="4"/>
            </w:tcBorders>
            <w:shd w:fill="FFF8EC" w:val="clear"/>
            <w:tcMar>
              <w:top w:type="dxa" w:w="100"/>
              <w:left w:type="dxa" w:w="200"/>
              <w:bottom w:type="dxa" w:w="100"/>
              <w:right w:type="dxa" w:w="200"/>
            </w:tcMar>
          </w:tcPr>
          <w:p>
            <w:pPr>
              <w:spacing w:after="30" w:before="30"/>
            </w:pPr>
            <w:r>
              <w:rPr>
                <w:rFonts w:ascii="Arial" w:cs="Arial" w:eastAsia="Arial" w:hAnsi="Arial"/>
                <w:b/>
                <w:bCs/>
                <w:color w:val="FFB020"/>
                <w:sz w:val="21"/>
                <w:szCs w:val="21"/>
              </w:rPr>
              <w:t xml:space="preserve">💡 Lưu ý:  </w:t>
            </w: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Toàn bộ quy trình đăng ký phép được thực hiện trực tiếp trên ứng dụng Tanca HRM — tanca.io/leave. Không chấp nhận đơn giấy hoặc email trừ trường hợp hệ thống sự cố.</w:t>
            </w:r>
          </w:p>
        </w:tc>
      </w:tr>
    </w:tbl>
    <w:p>
      <w:pPr>
        <w:spacing w:after="0" w:before="12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4.1  Quy trình đăng ký phép bình thường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Nhân viên đăng nhập Tanca HRM → chọn "Đơn xin nghỉ phép" → điền thông tin.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Hệ thống tự động kiểm tra số ngày phép còn lại và gửi yêu cầu đến quản lý trực tiếp.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Quản lý phê duyệt hoặc từ chối trong vòng 24 giờ làm việc.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Nhân viên nhận thông báo kết quả qua app Tanca và email.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Số ngày phép tự động cập nhật trên bảng theo dõi cá nhân sau khi phê duyệt.</w:t>
      </w:r>
    </w:p>
    <w:p>
      <w:pPr>
        <w:spacing w:after="0" w:before="12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4.2  Thời gian thông báo trước (Notice Period)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800"/>
        <w:gridCol w:w="2200"/>
        <w:gridCol w:w="2660"/>
      </w:tblGrid>
      <w:tr>
        <w:tc>
          <w:tcPr>
            <w:tcW w:type="dxa" w:w="26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Loại Nghỉ Phép</w:t>
            </w:r>
          </w:p>
        </w:tc>
        <w:tc>
          <w:tcPr>
            <w:tcW w:type="dxa" w:w="18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Thời Gian Báo Trước</w:t>
            </w:r>
          </w:p>
        </w:tc>
        <w:tc>
          <w:tcPr>
            <w:tcW w:type="dxa" w:w="22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Yêu Cầu Tài Liệu</w:t>
            </w:r>
          </w:p>
        </w:tc>
        <w:tc>
          <w:tcPr>
            <w:tcW w:type="dxa" w:w="266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Ghi Chú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1–2 ngày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Trước 24 giờ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Không cần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Vẫn phải đăng ký trên Tanca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3–5 ngày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Trước 3 ngày làm việc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Không cần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1 tuần (6–7 ngày)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Trước 1 tuần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Không cần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dài hạn (8+ ngày)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Trước 2 tuần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Kế hoạch bàn giao công việc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Cần QL cấp trên phê duyệt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Mùa cao điểm (T12, Tết)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Trước 4 tuần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Theo lịch block-out công ty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Ưu tiên FIFO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khẩn cấp (Emergency)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Trong 2 giờ qua Tanca/Zalo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Giấy tờ chứng minh nếu có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Quản lý quyết định</w:t>
            </w:r>
          </w:p>
        </w:tc>
      </w:tr>
    </w:tbl>
    <w:p>
      <w:pPr>
        <w:spacing w:after="0" w:before="12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4.3  Quyền từ chối của quản lý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Quản lý có quyền từ chối hoặc điều chỉnh lịch phép trong các trường hợp: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Dự án hoặc công việc quan trọng không thể thiếu nhân viên trong thời gian đó.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Quá nhiều nhân viên trong cùng bộ phận đã đăng ký nghỉ cùng thời điểm (xem giới hạn tại Điều 6).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Nhân viên vi phạm quy tắc thông báo trước mà không có lý do chính đáng.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Khi từ chối, quản lý phải ghi rõ lý do và đề xuất thời điểm nghỉ thay thế trong vòng 48 giờ.</w:t>
      </w:r>
    </w:p>
    <w:p>
      <w:pPr>
        <w:spacing w:after="0" w:before="3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838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🗂️  ĐIỀU 5 — CÁC LOẠI NGHỈ PHÉP ĐẶC BIỆT VÀ NGHỈ LỄ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5.1  Nghỉ lễ, tết theo quy định nhà nước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Nhân viên được nghỉ hưởng nguyên lương vào các ngày lễ, tết theo Điều 112 BLLĐ 2019: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800"/>
        <w:gridCol w:w="2200"/>
        <w:gridCol w:w="2660"/>
      </w:tblGrid>
      <w:tr>
        <w:tc>
          <w:tcPr>
            <w:tcW w:type="dxa" w:w="26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Ngày Lễ / Tết</w:t>
            </w:r>
          </w:p>
        </w:tc>
        <w:tc>
          <w:tcPr>
            <w:tcW w:type="dxa" w:w="18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Số Ngày</w:t>
            </w:r>
          </w:p>
        </w:tc>
        <w:tc>
          <w:tcPr>
            <w:tcW w:type="dxa" w:w="22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Thời Điểm (2026)</w:t>
            </w:r>
          </w:p>
        </w:tc>
        <w:tc>
          <w:tcPr>
            <w:tcW w:type="dxa" w:w="266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Lưu Ý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Tết Dương Lịch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01/01/2026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Tết Nguyên Đán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5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28/01 – 01/02/2026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Linh hoạt theo Thủ tướng công bố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Giỗ Tổ Hùng Vương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06/04/2026 (10/3 ÂL)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Ngày Giải Phóng Miền Nam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30/04/2026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Ngày Quốc Tế Lao Động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01/05/2026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Ngày Quốc Khánh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2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02–03/09/2026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Tổng cộng nghỉ lễ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11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Năm 2026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Theo NĐ 112/2020/NĐ-CP</w:t>
            </w:r>
          </w:p>
        </w:tc>
      </w:tr>
    </w:tbl>
    <w:p>
      <w:pPr>
        <w:spacing w:after="0" w:before="12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5.2  Nghỉ phép đặc biệt có hưởng lương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800"/>
        <w:gridCol w:w="2200"/>
        <w:gridCol w:w="2660"/>
      </w:tblGrid>
      <w:tr>
        <w:tc>
          <w:tcPr>
            <w:tcW w:type="dxa" w:w="26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Loại Phép Đặc Biệt</w:t>
            </w:r>
          </w:p>
        </w:tc>
        <w:tc>
          <w:tcPr>
            <w:tcW w:type="dxa" w:w="18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Số Ngày</w:t>
            </w:r>
          </w:p>
        </w:tc>
        <w:tc>
          <w:tcPr>
            <w:tcW w:type="dxa" w:w="220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Điều Kiện / Tài Liệu</w:t>
            </w:r>
          </w:p>
        </w:tc>
        <w:tc>
          <w:tcPr>
            <w:tcW w:type="dxa" w:w="2660"/>
            <w:tcBorders>
              <w:top w:val="single" w:color="008C3E" w:sz="4"/>
              <w:left w:val="single" w:color="008C3E" w:sz="4"/>
              <w:bottom w:val="single" w:color="008C3E" w:sz="4"/>
              <w:right w:val="single" w:color="008C3E" w:sz="4"/>
            </w:tcBorders>
            <w:shd w:fill="00B14F" w:val="clear"/>
            <w:tcMar>
              <w:top w:type="dxa" w:w="100"/>
              <w:left w:type="dxa" w:w="120"/>
              <w:bottom w:type="dxa" w:w="10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Căn Cứ Pháp Lý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kết hôn (bản thân)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3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Giấy đăng ký kết hôn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115 BLLĐ 2019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con/em ruột kết hôn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Thông báo kết hôn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115 BLLĐ 2019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bố/mẹ/vợ/chồng/con mất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3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Giấy chứng tử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115 BLLĐ 2019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ông/bà/anh/chị/em mất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1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Giấy chứng tử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115 BLLĐ 2019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vợ/chồng sinh con (bố)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5–7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Giấy khai sinh (trong 30 ngày)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34 Luật BHXH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ốm đau (có BHXH)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Theo quy định BHXH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Giấy khám/ra viện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Luật BHXH 2014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thai sản (mẹ)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6 tháng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Xác nhận thai sản / giấy sinh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FFFFF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34 Luật BHXH</w:t>
            </w:r>
          </w:p>
        </w:tc>
      </w:tr>
      <w:tr>
        <w:tc>
          <w:tcPr>
            <w:tcW w:type="dxa" w:w="26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Nghỉ khám thai (mẹ)</w:t>
            </w:r>
          </w:p>
        </w:tc>
        <w:tc>
          <w:tcPr>
            <w:tcW w:type="dxa" w:w="18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5 lần × 1 ngày</w:t>
            </w:r>
          </w:p>
        </w:tc>
        <w:tc>
          <w:tcPr>
            <w:tcW w:type="dxa" w:w="220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Giấy xác nhận khám thai</w:t>
            </w:r>
          </w:p>
        </w:tc>
        <w:tc>
          <w:tcPr>
            <w:tcW w:type="dxa" w:w="2660"/>
            <w:tcBorders>
              <w:top w:val="single" w:color="D8DDE6" w:sz="4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90"/>
              <w:left w:type="dxa" w:w="120"/>
              <w:bottom w:type="dxa" w:w="9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Điều 32 Luật BHXH</w:t>
            </w:r>
          </w:p>
        </w:tc>
      </w:tr>
    </w:tbl>
    <w:p>
      <w:pPr>
        <w:spacing w:after="0" w:before="12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5.3  Nghỉ không lương (Unpaid Leave)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Nhân viên có thể xin nghỉ không lương sau khi đã sử dụng hết phép năm, tối đa 30 ngày/năm.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Nghỉ không lương trên 30 ngày cần được CEO/Giám đốc phê duyệt và ký phụ lục hợp đồng.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Trong thời gian nghỉ không lương: BHXH/BHYT vẫn đóng nếu nhân viên tự nguyện nộp phần của mình.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Thâm niên tính phép năm không bị gián đoạn nếu nghỉ không lương ≤ 30 ngày liên tục.</w:t>
      </w:r>
    </w:p>
    <w:p>
      <w:pPr>
        <w:spacing w:after="0" w:before="3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8C3E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⚙️  ĐIỀU 6 — QUẢN LÝ PHÉP VÀ CÁC HẠN CHẾ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6.1  Giới hạn số nhân viên nghỉ cùng lúc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Để đảm bảo hoạt động kinh doanh liên tục, mỗi bộ phận áp dụng giới hạn: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Bộ phận 1–5 người: Tối đa 1 người nghỉ cùng lúc.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Bộ phận 6–15 người: Tối đa 2 người nghỉ cùng lúc.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Bộ phận 16+ người: Tối đa 20% nhân sự nghỉ cùng lúc.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Mùa cao điểm (T11, T12, Tết): Quản lý có thể hạn chế thêm sau khi thông báo trước 1 tháng.</w:t>
      </w:r>
    </w:p>
    <w:p>
      <w:pPr>
        <w:spacing w:after="0" w:before="8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6.2  Ngày block-out (Không được nghỉ phép)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Tuần đầu tháng 1 hàng năm (kick-off kế hoạch năm mới): 02/01 – 06/01/2026.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Tuần ra mắt sản phẩm lớn (thông báo tối thiểu 30 ngày trước).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Audit nội bộ / kiểm toán (thông báo tối thiểu 14 ngày trước).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Các ngày block-out được cập nhật trên Tanca HRM Calendar hàng quý.</w:t>
      </w:r>
    </w:p>
    <w:p>
      <w:pPr>
        <w:spacing w:after="0" w:before="8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6.3  Nghỉ phép không phê duyệt — Disciplinary Actions</w:t>
      </w:r>
    </w:p>
    <w:p>
      <w:pPr>
        <w:spacing w:after="60" w:before="6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Nhân viên vắng mặt không có phép hoặc không thông báo sẽ bị xử lý theo quy định: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Lần 1: Nhắc nhở bằng văn bản, trừ phép năm (nếu còn) hoặc trừ lương ngày vắng.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Lần 2: Cảnh cáo chính thức, ghi vào hồ sơ nhân viên.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Lần 3+: Có thể bị sa thải theo Điều 125 Bộ Luật Lao Động 2019.</w:t>
      </w:r>
    </w:p>
    <w:p>
      <w:pPr>
        <w:spacing w:after="0" w:before="3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838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👥  ĐIỀU 7 — TRÁCH NHIỆM CÁC BÊN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7.1  Trách nhiệm của Nhân viên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Chủ động lên kế hoạch sử dụng phép năm từ đầu năm và không để phép dồn quá mức.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Đăng ký phép đúng quy trình, đúng thời hạn thông báo qua Tanca HRM.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Bàn giao công việc đầy đủ trước khi nghỉ phép dài ngày (≥ 3 ngày).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Cung cấp giấy tờ chứng minh hợp lệ cho các loại phép đặc biệt.</w:t>
      </w:r>
    </w:p>
    <w:p>
      <w:pPr>
        <w:spacing w:after="0" w:before="8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7.2  Trách nhiệm của Quản lý trực tiếp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Phê duyệt hoặc từ chối đơn xin phép trong vòng 24 giờ làm việc kể từ khi nhận yêu cầu.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Lên kế hoạch nhân sự đảm bảo không để bộ phận thiếu người vận hành.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Nhắc nhở nhân viên sử dụng phép tồn đọng trước deadline 31/03 hàng năm.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Không ép buộc nhân viên hủy phép đã được phê duyệt trừ trường hợp khẩn cấp.</w:t>
      </w:r>
    </w:p>
    <w:p>
      <w:pPr>
        <w:spacing w:after="0" w:before="8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7.3  Trách nhiệm của Phòng Nhân Sự (HR)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Cập nhật và duy trì hệ thống theo dõi phép năm trên Tanca HRM chính xác, kịp thời.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Gửi báo cáo phép tháng cho quản lý và nhân viên vào ngày 5 hàng tháng.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Xem xét và cập nhật chính sách hàng năm hoặc khi có thay đổi pháp luật.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Hỗ trợ giải quyết tranh chấp liên quan đến phép năm giữa nhân viên và quản lý.</w:t>
      </w:r>
    </w:p>
    <w:p>
      <w:pPr>
        <w:spacing w:after="0" w:before="3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FB020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⚠️  ĐIỀU 8 — XỬ LÝ VI PHẠM VÀ KHIẾU NẠI</w:t>
            </w:r>
          </w:p>
        </w:tc>
      </w:tr>
    </w:tbl>
    <w:p>
      <w:pPr>
        <w:spacing w:after="0" w:before="100"/>
      </w:pPr>
    </w:p>
    <w:p>
      <w:pPr>
        <w:pBdr>
          <w:bottom w:val="single" w:color="D8DDE6" w:sz="4" w:space="2"/>
        </w:pBdr>
        <w:spacing w:after="80" w:before="220"/>
      </w:pPr>
      <w:r>
        <w:rPr>
          <w:rFonts w:ascii="Arial" w:cs="Arial" w:eastAsia="Arial" w:hAnsi="Arial"/>
          <w:b/>
          <w:bCs/>
          <w:color w:val="008C3E"/>
          <w:sz w:val="23"/>
          <w:szCs w:val="23"/>
        </w:rPr>
        <w:t xml:space="preserve">8.1  Quy trình khiếu nại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Nhân viên gửi khiếu nại bằng văn bản hoặc qua Tanca HRM đến HR trong vòng 5 ngày làm việc kể từ khi phát sinh tranh chấp.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HR tiếp nhận và mời các bên liên quan họp giải quyết trong vòng 3 ngày làm việc.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Nếu không đạt đồng thuận, HR báo cáo Ban Giám Đốc trong vòng 5 ngày tiếp theo.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Quyết định của Ban Giám Đốc là quyết định cuối cùng tại cấp nội bộ công ty.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Nhân viên có quyền khiếu nại lên Sở Lao Động – Thương Binh và Xã Hội theo quy định pháp luật.</w:t>
      </w:r>
    </w:p>
    <w:p>
      <w:pPr>
        <w:spacing w:after="0" w:before="3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8C3E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✅  ĐIỀU 9 — HIỆU LỰC VÀ ĐIỀU KHOẢN CHUNG</w:t>
            </w:r>
          </w:p>
        </w:tc>
      </w:tr>
    </w:tbl>
    <w:p>
      <w:pPr>
        <w:spacing w:after="0" w:before="100"/>
      </w:pP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Chính sách này có hiệu lực từ ngày 01/01/2026 và thay thế tất cả các phiên bản trước.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Chính sách được xem xét và cập nhật định kỳ mỗi năm một lần vào tháng 12.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Mọi sửa đổi, bổ sung phải được Giám đốc/CEO ký phê duyệt và thông báo đến toàn thể nhân viên trước 30 ngày có hiệu lực.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Trong trường hợp có mâu thuẫn giữa chính sách này và pháp luật Việt Nam hiện hành, pháp luật được ưu tiên áp dụng.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1A1A2E"/>
          <w:sz w:val="21"/>
          <w:szCs w:val="21"/>
        </w:rPr>
        <w:t xml:space="preserve">Nhân viên được coi là đã đọc và đồng ý với chính sách này khi bắt đầu làm việc hoặc khi chính sách được cập nhật và thông báo.</w:t>
      </w:r>
    </w:p>
    <w:p>
      <w:pPr>
        <w:spacing w:after="0" w:before="3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1B2A" w:val="clear"/>
            <w:tcMar>
              <w:top w:type="dxa" w:w="130"/>
              <w:left w:type="dxa" w:w="200"/>
              <w:bottom w:type="dxa" w:w="130"/>
              <w:right w:type="dxa" w:w="20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FFFFFF"/>
                <w:sz w:val="26"/>
                <w:szCs w:val="26"/>
              </w:rPr>
              <w:t xml:space="preserve">🖊️  PHÊ DUYỆT VÀ BAN HÀNH</w:t>
            </w:r>
          </w:p>
        </w:tc>
      </w:tr>
    </w:tbl>
    <w:p>
      <w:pPr>
        <w:spacing w:after="0" w:before="12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80"/>
        <w:gridCol w:w="3080"/>
        <w:gridCol w:w="3100"/>
      </w:tblGrid>
      <w:tr>
        <w:tc>
          <w:tcPr>
            <w:tcW w:type="dxa" w:w="3080"/>
            <w:tcBorders>
              <w:top w:val="single" w:color="00B14F" w:sz="8"/>
              <w:left w:val="single" w:color="D8DDE6" w:sz="4"/>
              <w:bottom w:val="single" w:color="D8DDE6" w:sz="4"/>
              <w:right w:val="single" w:color="D8DDE6" w:sz="4"/>
            </w:tcBorders>
            <w:shd w:fill="E8F5EE" w:val="clear"/>
            <w:tcMar>
              <w:top w:type="dxa" w:w="120"/>
              <w:left w:type="dxa" w:w="160"/>
              <w:bottom w:type="dxa" w:w="200"/>
              <w:right w:type="dxa" w:w="16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/>
                <w:bCs/>
                <w:color w:val="008C3E"/>
                <w:sz w:val="20"/>
                <w:szCs w:val="20"/>
              </w:rPr>
              <w:t xml:space="preserve">Ban Giám Đốc / CEO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Họ và tên: _______________________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Chữ ký:    _______________________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Ngày:       _______________________</w:t>
            </w:r>
          </w:p>
        </w:tc>
        <w:tc>
          <w:tcPr>
            <w:tcW w:type="dxa" w:w="3080"/>
            <w:tcBorders>
              <w:top w:val="single" w:color="00B14F" w:sz="8"/>
              <w:left w:val="single" w:color="D8DDE6" w:sz="4"/>
              <w:bottom w:val="single" w:color="D8DDE6" w:sz="4"/>
              <w:right w:val="single" w:color="D8DDE6" w:sz="4"/>
            </w:tcBorders>
            <w:shd w:fill="F7F9FC" w:val="clear"/>
            <w:tcMar>
              <w:top w:type="dxa" w:w="120"/>
              <w:left w:type="dxa" w:w="160"/>
              <w:bottom w:type="dxa" w:w="200"/>
              <w:right w:type="dxa" w:w="16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/>
                <w:bCs/>
                <w:color w:val="1B2838"/>
                <w:sz w:val="20"/>
                <w:szCs w:val="20"/>
              </w:rPr>
              <w:t xml:space="preserve">Trưởng Phòng Nhân Sự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Họ và tên: _______________________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Chữ ký:    _______________________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Ngày:       _______________________</w:t>
            </w:r>
          </w:p>
        </w:tc>
        <w:tc>
          <w:tcPr>
            <w:tcW w:type="dxa" w:w="3100"/>
            <w:tcBorders>
              <w:top w:val="single" w:color="00B14F" w:sz="8"/>
              <w:left w:val="single" w:color="D8DDE6" w:sz="4"/>
              <w:bottom w:val="single" w:color="D8DDE6" w:sz="4"/>
              <w:right w:val="single" w:color="D8DDE6" w:sz="4"/>
            </w:tcBorders>
            <w:shd w:fill="FFF8EC" w:val="clear"/>
            <w:tcMar>
              <w:top w:type="dxa" w:w="120"/>
              <w:left w:type="dxa" w:w="160"/>
              <w:bottom w:type="dxa" w:w="200"/>
              <w:right w:type="dxa" w:w="160"/>
            </w:tcMar>
          </w:tcPr>
          <w:p>
            <w:pPr>
              <w:spacing w:after="100" w:before="0"/>
            </w:pPr>
            <w:r>
              <w:rPr>
                <w:rFonts w:ascii="Arial" w:cs="Arial" w:eastAsia="Arial" w:hAnsi="Arial"/>
                <w:b/>
                <w:bCs/>
                <w:color w:val="FFB020"/>
                <w:sz w:val="20"/>
                <w:szCs w:val="20"/>
              </w:rPr>
              <w:t xml:space="preserve">Đại Diện Pháp Lý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Họ và tên: _______________________</w:t>
            </w:r>
          </w:p>
          <w:p>
            <w:pPr>
              <w:spacing w:after="8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Chữ ký:    _______________________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Ngày:       _______________________</w:t>
            </w:r>
          </w:p>
        </w:tc>
      </w:tr>
    </w:tbl>
    <w:p>
      <w:pPr>
        <w:spacing w:after="0" w:before="2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260"/>
      </w:tblGrid>
      <w:tr>
        <w:tc>
          <w:tcPr>
            <w:tcW w:type="dxa" w:w="9260"/>
            <w:tcBorders>
              <w:top w:val="single" w:color="00B14F" w:sz="8"/>
              <w:left w:val="single" w:color="00B14F" w:sz="8"/>
              <w:bottom w:val="single" w:color="00B14F" w:sz="8"/>
              <w:right w:val="single" w:color="00B14F" w:sz="8"/>
            </w:tcBorders>
            <w:shd w:fill="E8F5EE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6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08C3E"/>
                <w:sz w:val="24"/>
                <w:szCs w:val="24"/>
              </w:rPr>
              <w:t xml:space="preserve">🚀  Tự động hóa quản lý phép năm với Tanca HRM</w:t>
            </w:r>
          </w:p>
          <w:p>
            <w:pPr>
              <w:spacing w:after="40" w:before="0"/>
              <w:jc w:val="center"/>
            </w:pPr>
            <w:r>
              <w:rPr>
                <w:rFonts w:ascii="Arial" w:cs="Arial" w:eastAsia="Arial" w:hAnsi="Arial"/>
                <w:color w:val="1A1A2E"/>
                <w:sz w:val="21"/>
                <w:szCs w:val="21"/>
              </w:rPr>
              <w:t xml:space="preserve">Đăng ký phép, phê duyệt tự động, theo dõi số dư phép real-time — tất cả trên một nền tảng.</w:t>
            </w:r>
          </w:p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color w:val="00B14F"/>
                <w:sz w:val="22"/>
                <w:szCs w:val="22"/>
                <w:u w:val="single" w:color="00B14F"/>
              </w:rPr>
              <w:t xml:space="preserve">tanca.io/leave-management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247" w:right="1020" w:bottom="1247" w:left="124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DDE6" w:sz="4" w:space="1"/>
      </w:pBdr>
      <w:tabs>
        <w:tab w:val="center" w:pos="4630"/>
        <w:tab w:val="right" w:pos="9260"/>
      </w:tabs>
      <w:spacing w:after="0" w:before="60"/>
    </w:pPr>
    <w:r>
      <w:rPr>
        <w:rFonts w:ascii="Arial" w:cs="Arial" w:eastAsia="Arial" w:hAnsi="Arial"/>
        <w:color w:val="8892A0"/>
        <w:sz w:val="17"/>
        <w:szCs w:val="17"/>
      </w:rPr>
      <w:t xml:space="preserve">© 2026 Tanca HRM  ·  Tài liệu nội bộ — Bảo mật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8892A0"/>
        <w:sz w:val="17"/>
        <w:szCs w:val="17"/>
      </w:rPr>
      <w:t xml:space="preserve">Trang </w:t>
    </w:r>
    <w:r>
      <w:fldChar w:fldCharType="begin"/>
    </w:r>
    <w:r>
      <w:instrText xml:space="preserve"> PAGE </w:instrText>
    </w:r>
    <w:r>
      <w:fldChar w:fldCharType="end"/>
    </w:r>
    <w:r>
      <w:rPr>
        <w:rFonts w:ascii="Arial" w:cs="Arial" w:eastAsia="Arial" w:hAnsi="Arial"/>
        <w:color w:val="00B14F"/>
        <w:sz w:val="17"/>
        <w:szCs w:val="17"/>
      </w:rPr>
      <w:t xml:space="preserve">	tanca.io/hr-templates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26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5000"/>
      <w:gridCol w:w="4260"/>
    </w:tblGrid>
    <w:tr>
      <w:tc>
        <w:tcPr>
          <w:tcW w:type="dxa" w:w="50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</w:tcPr>
        <w:p>
          <w:pPr>
            <w:spacing w:after="0" w:before="0"/>
          </w:pPr>
          <w:r>
            <w:rPr>
              <w:rFonts w:ascii="Arial" w:cs="Arial" w:eastAsia="Arial" w:hAnsi="Arial"/>
              <w:b/>
              <w:bCs/>
              <w:color w:val="00B14F"/>
              <w:sz w:val="26"/>
              <w:szCs w:val="26"/>
            </w:rPr>
            <w:t xml:space="preserve">TANCA</w:t>
          </w:r>
          <w:r>
            <w:rPr>
              <w:rFonts w:ascii="Arial" w:cs="Arial" w:eastAsia="Arial" w:hAnsi="Arial"/>
              <w:color w:val="8892A0"/>
              <w:sz w:val="20"/>
              <w:szCs w:val="20"/>
            </w:rPr>
            <w:t xml:space="preserve">  ·  Annual Leave Policy</w:t>
          </w:r>
        </w:p>
      </w:tc>
      <w:tc>
        <w:tcPr>
          <w:tcW w:type="dxa" w:w="42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60"/>
            <w:left w:type="dxa" w:w="0"/>
            <w:bottom w:type="dxa" w:w="60"/>
            <w:right w:type="dxa" w:w="0"/>
          </w:tcMar>
        </w:tcPr>
        <w:p>
          <w:pPr>
            <w:spacing w:after="0" w:before="0"/>
            <w:jc w:val="right"/>
          </w:pPr>
          <w:r>
            <w:rPr>
              <w:rFonts w:ascii="Arial" w:cs="Arial" w:eastAsia="Arial" w:hAnsi="Arial"/>
              <w:color w:val="8892A0"/>
              <w:sz w:val="18"/>
              <w:szCs w:val="18"/>
            </w:rPr>
            <w:t xml:space="preserve">HR-POL-001  ·  Ver 2026  ·  tanca.io</w:t>
          </w:r>
        </w:p>
      </w:tc>
    </w:tr>
  </w:tbl>
  <w:p>
    <w:pPr>
      <w:pBdr>
        <w:bottom w:val="single" w:color="00B14F" w:sz="6" w:space="1"/>
      </w:pBdr>
      <w:spacing w:after="0" w:before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color w:val="00B14F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1080" w:hanging="360"/>
      </w:pPr>
      <w:rPr>
        <w:color w:val="8892A0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2026-04-14T03:59:53.751Z</dcterms:created>
  <dcterms:modified xsi:type="dcterms:W3CDTF">2026-04-14T03:59:53.752Z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